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jc w:val="center"/>
      </w:pPr>
      <w:r>
        <w:t>Low-Fidelity Biology</w:t>
      </w:r>
    </w:p>
    <w:p>
      <w:pPr>
        <w:jc w:val="center"/>
      </w:pPr>
      <w:r>
        <w:rPr>
          <w:b/>
          <w:color w:val="1C4882"/>
          <w:sz w:val="30"/>
        </w:rPr>
        <w:t>From NO-Cbl Glioblastoma Targeting to the Quantum-Bioelectric Dissonance Hypothesis</w:t>
      </w:r>
    </w:p>
    <w:p>
      <w:pPr>
        <w:jc w:val="center"/>
      </w:pPr>
      <w:r>
        <w:rPr>
          <w:i/>
          <w:color w:val="464646"/>
          <w:sz w:val="22"/>
        </w:rPr>
        <w:t>A public-facing position paper on redox fidelity, RFR, cancer susceptibility, and prevention-first public health</w:t>
      </w:r>
    </w:p>
    <w:tbl>
      <w:tblPr>
        <w:tblW w:type="auto" w:w="0"/>
        <w:jc w:val="center"/>
        <w:tblLook w:firstColumn="1" w:firstRow="1" w:lastColumn="0" w:lastRow="0" w:noHBand="0" w:noVBand="1" w:val="04A0"/>
      </w:tblPr>
      <w:tblGrid>
        <w:gridCol w:w="10368"/>
      </w:tblGrid>
      <w:tr>
        <w:tc>
          <w:tcPr>
            <w:tcW w:type="dxa" w:w="10368"/>
            <w:shd w:fill="EAF2FF"/>
            <w:tcBorders>
              <w:top w:sz="8" w:val="single" w:color="2A5FA8"/>
              <w:left w:sz="8" w:val="single" w:color="2A5FA8"/>
              <w:bottom w:sz="8" w:val="single" w:color="2A5FA8"/>
              <w:right w:sz="8" w:val="single" w:color="2A5FA8"/>
            </w:tcBorders>
          </w:tcPr>
          <w:p>
            <w:pPr>
              <w:jc w:val="center"/>
            </w:pPr>
            <w:r>
              <w:rPr>
                <w:b/>
                <w:color w:val="0C2656"/>
                <w:sz w:val="21"/>
              </w:rPr>
              <w:t>Central thesis: RFR should not be framed only as a candidate cause of one named disease. The stronger hypothesis is that chronic, modulated electromagnetic exposure can act as one upstream contributor to low-fidelity biology: a state of degraded timing, redox coherence, calcium signaling, and mitochondrial decision-making that can contribute to many downstream disease phenotypes depending on tissue context and co-exposures.</w:t>
            </w:r>
          </w:p>
        </w:tc>
      </w:tr>
    </w:tbl>
    <w:p/>
    <w:p>
      <w:pPr>
        <w:pStyle w:val="Heading1"/>
      </w:pPr>
      <w:r>
        <w:t>Abstract</w:t>
      </w:r>
    </w:p>
    <w:p>
      <w:r>
        <w:t>A 2026 Oncoscience study on nitrosylcobalamin (NO-Cbl), a nitric-oxide-releasing vitamin B12 analog, demonstrates a compelling downstream strategy for glioblastoma: use the tumor's cobalamin uptake pathway to cross the blood-brain barrier, concentrate a redox-active payload in tumor tissue, and sensitize glioma cells to apoptosis. That study is not an origin story for glioblastoma. It is a rescue strategy after transformation. This article uses the NO-Cbl paper as a starting point for a broader prevention question: what drives the corrupted redox-apoptotic state that makes glioblastoma so lethal in the first place?</w:t>
      </w:r>
    </w:p>
    <w:p>
      <w:r>
        <w:t>The proposed answer is low-fidelity biology: a meta-disease state in which cells lose temporal precision in calcium signaling, mitochondrial electron flow, nitric oxide/redox handling, and apoptosis checkpoints. Radiofrequency radiation (RFR) is not presented here as the only driver of this state, nor as a direct DNA-breaking ionizing agent. Rather, modulated RFR is proposed as a chronic timing pollutant that may contribute to bioelectric dissonance in susceptible tissues, especially when combined with diet, metabolic stress, sleep disruption, toxicants, inflammation, and developmental vulnerability. The model is testable, falsifiable, and politically consequential. It calls for rigorous mechanistic science, honest uncertainty, updated public-health law, and a shift from disease-by-disease reaction to upstream protection of biological signal fidelity.</w:t>
      </w:r>
    </w:p>
    <w:p>
      <w:r>
        <w:drawing>
          <wp:inline xmlns:a="http://schemas.openxmlformats.org/drawingml/2006/main" xmlns:pic="http://schemas.openxmlformats.org/drawingml/2006/picture">
            <wp:extent cx="6172200" cy="3473708"/>
            <wp:docPr id="1" name="Picture 1"/>
            <wp:cNvGraphicFramePr>
              <a:graphicFrameLocks noChangeAspect="1"/>
            </wp:cNvGraphicFramePr>
            <a:graphic>
              <a:graphicData uri="http://schemas.openxmlformats.org/drawingml/2006/picture">
                <pic:pic>
                  <pic:nvPicPr>
                    <pic:cNvPr id="0" name="proposed_quantum_bioelectric_pathway_to_cancer.png"/>
                    <pic:cNvPicPr/>
                  </pic:nvPicPr>
                  <pic:blipFill>
                    <a:blip r:embed="rId11"/>
                    <a:stretch>
                      <a:fillRect/>
                    </a:stretch>
                  </pic:blipFill>
                  <pic:spPr>
                    <a:xfrm>
                      <a:off x="0" y="0"/>
                      <a:ext cx="6172200" cy="3473708"/>
                    </a:xfrm>
                    <a:prstGeom prst="rect"/>
                  </pic:spPr>
                </pic:pic>
              </a:graphicData>
            </a:graphic>
          </wp:inline>
        </w:drawing>
      </w:r>
    </w:p>
    <w:p>
      <w:pPr>
        <w:jc w:val="center"/>
      </w:pPr>
      <w:r>
        <w:rPr>
          <w:i/>
          <w:color w:val="464646"/>
          <w:sz w:val="17"/>
        </w:rPr>
        <w:t>Figure 1. Proposed Quantum-Bioelectric Dissonance Pathway to Cancer. The figure is a hypothesis map, not settled proof; it links modulated RFR, radical-pair/redox bias, S4/CYB5B calcium-redox disruption, genomic instability, density-gated tumor outcomes, and downstream NO-Cbl vulnerability.</w:t>
      </w:r>
    </w:p>
    <w:p>
      <w:pPr>
        <w:pStyle w:val="Heading1"/>
      </w:pPr>
      <w:r>
        <w:t>1. Start downstream: what the NO-Cbl study actually shows</w:t>
      </w:r>
    </w:p>
    <w:p>
      <w:r>
        <w:t>The NO-Cbl paper is a treatment paper, but it opens a prevention question. Glioblastoma is difficult to treat partly because effective drugs must cross the blood-brain barrier and then remain active in tumor tissue without creating unacceptable systemic toxicity. Bauer, Sysel, and Dunphy designed NO-Cbl around a biologically rational vulnerability: many proliferating malignant cells rely heavily on cobalamin uptake, and NO-Cbl uses the cobalamin scaffold to deliver a nitric oxide payload through the transcobalamin II receptor, CD320. [1]</w:t>
      </w:r>
    </w:p>
    <w:p>
      <w:r>
        <w:t>The reported pharmacokinetics are the paper's strongest translational signal. In glioblastoma-bearing rats, tumor nitrate, used as a proxy for nitric oxide release, peaked at about 20.4 nmol/g at 30 minutes and remained elevated at 24 hours, while normal brain, liver, and kidney showed more transient changes. Serum nitrate cleared relatively quickly, while serum and CSF B12 markers cleared more slowly. In U87 and D54 glioma cells, NO-Cbl synergized with TRAIL and temozolomide, with combination-index values below 1.0. [1]</w:t>
      </w:r>
    </w:p>
    <w:p>
      <w:r>
        <w:t>Mechanistically, NO-Cbl is interesting because it is not merely a generic cytotoxin. Prior work summarized in the paper links NO-Cbl to intracellular nitric oxide delivery, caspase-8-dependent apoptosis, S-nitrosylation of TRAIL death receptor DR4, and suppression of NF-kappaB survival signaling. In plain language: the drug may use a tumor's own nutrient-scavenging behavior to deliver a redox-active death signal into cells that have learned how to resist death. [1]</w:t>
      </w:r>
    </w:p>
    <w:tbl>
      <w:tblPr>
        <w:tblW w:type="auto" w:w="0"/>
        <w:jc w:val="center"/>
        <w:tblLook w:firstColumn="1" w:firstRow="1" w:lastColumn="0" w:lastRow="0" w:noHBand="0" w:noVBand="1" w:val="04A0"/>
      </w:tblPr>
      <w:tblGrid>
        <w:gridCol w:w="10368"/>
      </w:tblGrid>
      <w:tr>
        <w:tc>
          <w:tcPr>
            <w:tcW w:type="dxa" w:w="10368"/>
            <w:shd w:fill="F4EAFB"/>
            <w:tcBorders>
              <w:top w:sz="8" w:val="single" w:color="7B3FA1"/>
              <w:left w:sz="8" w:val="single" w:color="7B3FA1"/>
              <w:bottom w:sz="8" w:val="single" w:color="7B3FA1"/>
              <w:right w:sz="8" w:val="single" w:color="7B3FA1"/>
            </w:tcBorders>
          </w:tcPr>
          <w:p>
            <w:pPr>
              <w:pStyle w:val="CalloutText"/>
            </w:pPr>
            <w:r>
              <w:rPr>
                <w:b/>
              </w:rPr>
              <w:t>NO-Cbl may exploit glioblastoma's corrupted redox-apoptotic state. Prevention asks why that state emerges in the first place.</w:t>
            </w:r>
          </w:p>
        </w:tc>
      </w:tr>
    </w:tbl>
    <w:p>
      <w:pPr>
        <w:pStyle w:val="Heading1"/>
      </w:pPr>
      <w:r>
        <w:t>2. The missing question: why does the redox-apoptotic state emerge?</w:t>
      </w:r>
    </w:p>
    <w:p>
      <w:r>
        <w:t>The key move is to avoid treating therapy and prevention as competing moral projects. Patients with glioblastoma today need better therapies. At the same time, the existence of a clever downstream therapeutic should not distract from the upstream question: what pushes cells into the malignant state that NO-Cbl later exploits?</w:t>
      </w:r>
    </w:p>
    <w:p>
      <w:r>
        <w:t>The proposed answer is not that one exposure equals one disease. The stronger formulation is that some exposures degrade biological fidelity. Once fidelity is degraded, cells do what living systems always do: they adapt. Some adapt by changing metabolism. Some alter immune signaling. Some lose differentiation timing. Some escape apoptosis. In a glial or Schwann-lineage context, under the wrong genetic, developmental, inflammatory, and redox conditions, that adaptation can become malignant.</w:t>
      </w:r>
    </w:p>
    <w:tbl>
      <w:tblPr>
        <w:tblW w:type="auto" w:w="0"/>
        <w:jc w:val="center"/>
        <w:tblLook w:firstColumn="1" w:firstRow="1" w:lastColumn="0" w:lastRow="0" w:noHBand="0" w:noVBand="1" w:val="04A0"/>
      </w:tblPr>
      <w:tblGrid>
        <w:gridCol w:w="10368"/>
      </w:tblGrid>
      <w:tr>
        <w:tc>
          <w:tcPr>
            <w:tcW w:type="dxa" w:w="10368"/>
            <w:shd w:fill="EAF7EF"/>
            <w:tcBorders>
              <w:top w:sz="8" w:val="single" w:color="2E8B57"/>
              <w:left w:sz="8" w:val="single" w:color="2E8B57"/>
              <w:bottom w:sz="8" w:val="single" w:color="2E8B57"/>
              <w:right w:sz="8" w:val="single" w:color="2E8B57"/>
            </w:tcBorders>
          </w:tcPr>
          <w:p>
            <w:r>
              <w:rPr>
                <w:b/>
              </w:rPr>
              <w:t>Definition: Low-fidelity biology</w:t>
            </w:r>
            <w:r>
              <w:t xml:space="preserve"> is a proposed meta-disease state in which cells lose precision in the timing and interpretation of calcium waves, membrane potential, mitochondrial redox state, nitric oxide signaling, repair checkpoints, and gene-regulatory programs. The downstream disease phenotype is context-gated by tissue type, age, genetics, immune state, and co-exposures.</w:t>
            </w:r>
          </w:p>
        </w:tc>
      </w:tr>
    </w:tbl>
    <w:p>
      <w:r>
        <w:t>This is why the phrase 'RF causes disease X' may be too crude. A more accurate hypothesis is: chronic waveform stress may contribute to an upstream low-fidelity state, and that state can become many different diseases depending on where, when, and in whom it occurs.</w:t>
      </w:r>
    </w:p>
    <w:p>
      <w:pPr>
        <w:pStyle w:val="Heading1"/>
      </w:pPr>
      <w:r>
        <w:t>3. RFR as one contributor to low-fidelity biology</w:t>
      </w:r>
    </w:p>
    <w:p>
      <w:r>
        <w:t>Radiofrequency radiation is non-ionizing. It should not be described as working like X-rays or gamma rays. The photon energy is too low to directly break DNA bonds. That is precisely why the strongest RFR hypothesis must be indirect: RFR, if biologically active at non-thermal levels, would act not as a molecular bullet but as a chronic perturbation of timing-sensitive cellular systems.</w:t>
      </w:r>
    </w:p>
    <w:p>
      <w:r>
        <w:t>The relevant exposure variable is not only average absorbed energy. It is waveform: carrier frequency, modulation envelope, pulse structure, duty cycle, peak-to-average ratio, polarization, near-field geometry, exposure duration, and the physiological state of the exposed tissue. A cell is not a bag of chemistry; it is a timing machine. Calcium spikes, mitochondrial membrane potential, NADH/FAD redox ratios, ROS/RNS bursts, nitric oxide pulses, phosphorylation cycles, and chromatin marks all encode information in time.</w:t>
      </w:r>
    </w:p>
    <w:p>
      <w:r>
        <w:t>Diet, ultra-processed food, sleep disruption, chronic psychological stress, toxicants, infections, metabolic disease, and inactivity can also drive low-fidelity biology. The difference with wireless infrastructure is control. Individuals can change many personal exposures. They cannot opt out of the electromagnetic environment created by public infrastructure in the same way. That makes RFR not only a biomedical question, but a governance question.</w:t>
      </w:r>
    </w:p>
    <w:p>
      <w:pPr>
        <w:pStyle w:val="Heading1"/>
      </w:pPr>
      <w:r>
        <w:t>4. The proposed quantum-bioelectric pathway</w:t>
      </w:r>
    </w:p>
    <w:tbl>
      <w:tblPr>
        <w:tblStyle w:val="TableGrid"/>
        <w:tblW w:type="auto" w:w="0"/>
        <w:jc w:val="center"/>
        <w:tblLook w:firstColumn="1" w:firstRow="1" w:lastColumn="0" w:lastRow="0" w:noHBand="0" w:noVBand="1" w:val="04A0"/>
      </w:tblPr>
      <w:tblGrid>
        <w:gridCol w:w="3456"/>
        <w:gridCol w:w="3456"/>
        <w:gridCol w:w="3456"/>
      </w:tblGrid>
      <w:tr>
        <w:trPr>
          <w:tblHeader w:val="true"/>
        </w:trPr>
        <w:tc>
          <w:tcPr>
            <w:tcW w:type="dxa" w:w="3456"/>
            <w:shd w:fill="143966"/>
          </w:tcPr>
          <w:p>
            <w:r>
              <w:rPr>
                <w:b/>
                <w:color w:val="FFFFFF"/>
                <w:sz w:val="19"/>
              </w:rPr>
              <w:t>Layer</w:t>
            </w:r>
          </w:p>
        </w:tc>
        <w:tc>
          <w:tcPr>
            <w:tcW w:type="dxa" w:w="3456"/>
            <w:shd w:fill="143966"/>
          </w:tcPr>
          <w:p>
            <w:r>
              <w:rPr>
                <w:b/>
                <w:color w:val="FFFFFF"/>
                <w:sz w:val="19"/>
              </w:rPr>
              <w:t>Proposed event</w:t>
            </w:r>
          </w:p>
        </w:tc>
        <w:tc>
          <w:tcPr>
            <w:tcW w:type="dxa" w:w="3456"/>
            <w:shd w:fill="143966"/>
          </w:tcPr>
          <w:p>
            <w:r>
              <w:rPr>
                <w:b/>
                <w:color w:val="FFFFFF"/>
                <w:sz w:val="19"/>
              </w:rPr>
              <w:t>Why it matters</w:t>
            </w:r>
          </w:p>
        </w:tc>
      </w:tr>
      <w:tr>
        <w:tc>
          <w:tcPr>
            <w:tcW w:type="dxa" w:w="3456"/>
            <w:vAlign w:val="top"/>
          </w:tcPr>
          <w:p>
            <w:r>
              <w:rPr>
                <w:sz w:val="17"/>
              </w:rPr>
              <w:t>0. Quantum/redox trigger</w:t>
            </w:r>
          </w:p>
        </w:tc>
        <w:tc>
          <w:tcPr>
            <w:tcW w:type="dxa" w:w="3456"/>
            <w:vAlign w:val="top"/>
          </w:tcPr>
          <w:p>
            <w:r>
              <w:rPr>
                <w:sz w:val="17"/>
              </w:rPr>
              <w:t>Modulated fields may bias radical-pair or spin-sensitive redox chemistry, especially in flavin, superoxide, heme, or electron-transfer contexts.</w:t>
            </w:r>
          </w:p>
        </w:tc>
        <w:tc>
          <w:tcPr>
            <w:tcW w:type="dxa" w:w="3456"/>
            <w:vAlign w:val="top"/>
          </w:tcPr>
          <w:p>
            <w:r>
              <w:rPr>
                <w:sz w:val="17"/>
              </w:rPr>
              <w:t>A small shift in ROS/RNS partitioning can become significant when repeated chronically and amplified by mitochondrial networks.</w:t>
            </w:r>
          </w:p>
        </w:tc>
      </w:tr>
      <w:tr>
        <w:tc>
          <w:tcPr>
            <w:tcW w:type="dxa" w:w="3456"/>
            <w:vAlign w:val="top"/>
          </w:tcPr>
          <w:p>
            <w:r>
              <w:rPr>
                <w:sz w:val="17"/>
              </w:rPr>
              <w:t>1. Membrane target</w:t>
            </w:r>
          </w:p>
        </w:tc>
        <w:tc>
          <w:tcPr>
            <w:tcW w:type="dxa" w:w="3456"/>
            <w:vAlign w:val="top"/>
          </w:tcPr>
          <w:p>
            <w:r>
              <w:rPr>
                <w:sz w:val="17"/>
              </w:rPr>
              <w:t>Voltage-sensitive gating machinery, including S4 domains in voltage-gated channels, may experience altered timing or gating bias.</w:t>
            </w:r>
          </w:p>
        </w:tc>
        <w:tc>
          <w:tcPr>
            <w:tcW w:type="dxa" w:w="3456"/>
            <w:vAlign w:val="top"/>
          </w:tcPr>
          <w:p>
            <w:r>
              <w:rPr>
                <w:sz w:val="17"/>
              </w:rPr>
              <w:t>Calcium is a timing code, not merely a concentration. Mistimed calcium changes alter gene regulation, metabolism, and apoptosis.</w:t>
            </w:r>
          </w:p>
        </w:tc>
      </w:tr>
      <w:tr>
        <w:tc>
          <w:tcPr>
            <w:tcW w:type="dxa" w:w="3456"/>
            <w:vAlign w:val="top"/>
          </w:tcPr>
          <w:p>
            <w:r>
              <w:rPr>
                <w:sz w:val="17"/>
              </w:rPr>
              <w:t>2. Mitochondrial target</w:t>
            </w:r>
          </w:p>
        </w:tc>
        <w:tc>
          <w:tcPr>
            <w:tcW w:type="dxa" w:w="3456"/>
            <w:vAlign w:val="top"/>
          </w:tcPr>
          <w:p>
            <w:r>
              <w:rPr>
                <w:sz w:val="17"/>
              </w:rPr>
              <w:t>CYB5B-like redox interfaces may link EMF-responsive calcium oscillations to mitochondrial electron flow.</w:t>
            </w:r>
          </w:p>
        </w:tc>
        <w:tc>
          <w:tcPr>
            <w:tcW w:type="dxa" w:w="3456"/>
            <w:vAlign w:val="top"/>
          </w:tcPr>
          <w:p>
            <w:r>
              <w:rPr>
                <w:sz w:val="17"/>
              </w:rPr>
              <w:t>Mitochondria translate calcium timing into ATP, ROS, redox tone, and survival decisions.</w:t>
            </w:r>
          </w:p>
        </w:tc>
      </w:tr>
      <w:tr>
        <w:tc>
          <w:tcPr>
            <w:tcW w:type="dxa" w:w="3456"/>
            <w:vAlign w:val="top"/>
          </w:tcPr>
          <w:p>
            <w:r>
              <w:rPr>
                <w:sz w:val="17"/>
              </w:rPr>
              <w:t>3. Bioelectric dissonance</w:t>
            </w:r>
          </w:p>
        </w:tc>
        <w:tc>
          <w:tcPr>
            <w:tcW w:type="dxa" w:w="3456"/>
            <w:vAlign w:val="top"/>
          </w:tcPr>
          <w:p>
            <w:r>
              <w:rPr>
                <w:sz w:val="17"/>
              </w:rPr>
              <w:t>Healthy oscillatory signaling collapses into noisy, elevated-baseline calcium/redox activity.</w:t>
            </w:r>
          </w:p>
        </w:tc>
        <w:tc>
          <w:tcPr>
            <w:tcW w:type="dxa" w:w="3456"/>
            <w:vAlign w:val="top"/>
          </w:tcPr>
          <w:p>
            <w:r>
              <w:rPr>
                <w:sz w:val="17"/>
              </w:rPr>
              <w:t>The cell begins to interpret noise as instruction: survive, repair, inflame, divide, or dedifferentiate.</w:t>
            </w:r>
          </w:p>
        </w:tc>
      </w:tr>
      <w:tr>
        <w:tc>
          <w:tcPr>
            <w:tcW w:type="dxa" w:w="3456"/>
            <w:vAlign w:val="top"/>
          </w:tcPr>
          <w:p>
            <w:r>
              <w:rPr>
                <w:sz w:val="17"/>
              </w:rPr>
              <w:t>4. Maladaptive survival</w:t>
            </w:r>
          </w:p>
        </w:tc>
        <w:tc>
          <w:tcPr>
            <w:tcW w:type="dxa" w:w="3456"/>
            <w:vAlign w:val="top"/>
          </w:tcPr>
          <w:p>
            <w:r>
              <w:rPr>
                <w:sz w:val="17"/>
              </w:rPr>
              <w:t>ROS/RNS stress increases repair burden, checkpoint strain, epigenetic drift, and apoptosis escape.</w:t>
            </w:r>
          </w:p>
        </w:tc>
        <w:tc>
          <w:tcPr>
            <w:tcW w:type="dxa" w:w="3456"/>
            <w:vAlign w:val="top"/>
          </w:tcPr>
          <w:p>
            <w:r>
              <w:rPr>
                <w:sz w:val="17"/>
              </w:rPr>
              <w:t>Cancer begins to become plausible when damaged cells do not die and instead adapt to living in damage.</w:t>
            </w:r>
          </w:p>
        </w:tc>
      </w:tr>
      <w:tr>
        <w:tc>
          <w:tcPr>
            <w:tcW w:type="dxa" w:w="3456"/>
            <w:vAlign w:val="top"/>
          </w:tcPr>
          <w:p>
            <w:r>
              <w:rPr>
                <w:sz w:val="17"/>
              </w:rPr>
              <w:t>5. Tumor phenotype</w:t>
            </w:r>
          </w:p>
        </w:tc>
        <w:tc>
          <w:tcPr>
            <w:tcW w:type="dxa" w:w="3456"/>
            <w:vAlign w:val="top"/>
          </w:tcPr>
          <w:p>
            <w:r>
              <w:rPr>
                <w:sz w:val="17"/>
              </w:rPr>
              <w:t>In susceptible glial or Schwann-lineage compartments, chronic adaptation may favor redox-tolerant, nutrient-hungry, apoptosis-resistant clones.</w:t>
            </w:r>
          </w:p>
        </w:tc>
        <w:tc>
          <w:tcPr>
            <w:tcW w:type="dxa" w:w="3456"/>
            <w:vAlign w:val="top"/>
          </w:tcPr>
          <w:p>
            <w:r>
              <w:rPr>
                <w:sz w:val="17"/>
              </w:rPr>
              <w:t>This creates the downstream state that NO-Cbl may exploit through CD320-mediated uptake and localized nitric oxide delivery.</w:t>
            </w:r>
          </w:p>
        </w:tc>
      </w:tr>
    </w:tbl>
    <w:p>
      <w:r>
        <w:t>The radical-pair component should be stated carefully. Radical-pair chemistry is real, and studies have shown that magnetic fields can alter ROS partitioning in flavoenzyme-related systems and living cells. However, direct radical-pair explanations for telecommunication-frequency biological effects remain disputed; recent modeling argues that the standard radical-pair mechanism alone may be too weak at typical telecom frequencies unless another coupling or amplification mechanism is present. The strongest version of this hypothesis therefore treats spin chemistry as part of an amplified calcium-mitochondrial-redox network, not as a standalone magic explanation. [12-14]</w:t>
      </w:r>
    </w:p>
    <w:p>
      <w:r>
        <w:t>The calcium and mitochondrial layers are less speculative than the full cancer chain. A systematic review of electromagnetic-field effects on neuronal ion channels found that changes in calcium homeostasis, often attributed to voltage-gated calcium channels, were among the most commonly reported outcomes, though effects depended strongly on exposure parameters and tissue/channel context. Separately, a 2026 Cell study summarized by Nature Biotechnology reported an EMF-responsive gene switch in which cytochrome b5 type B was defined as an EMF sensor linking electromagnetic input to gene activation via calcium influx. [15,16]</w:t>
      </w:r>
    </w:p>
    <w:p>
      <w:pPr>
        <w:pStyle w:val="Heading1"/>
      </w:pPr>
      <w:r>
        <w:t>5. Why cancer is a density-gated outcome, not a universal endpoint</w:t>
      </w:r>
    </w:p>
    <w:p>
      <w:r>
        <w:t>The hypothesis does not predict that every exposed cell becomes cancerous. It predicts density-gated vulnerability. A tissue is more vulnerable when it has a high density of electrically sensitive signaling hardware, strong mitochondrial demand, developmental plasticity, long-lived progenitor compartments, inflammation, impaired immune clearance, or pre-existing redox stress.</w:t>
      </w:r>
    </w:p>
    <w:p>
      <w:r>
        <w:t>This is why the brain and Schwann-cell contexts matter. Glial progenitors, astrocytes, oligodendrocyte precursor cells, neural stem-like compartments, and Schwann-lineage cells are not generic tissue. They are calcium-sensitive, mitochondria-rich, developmentally regulated, and embedded in an electrically active ecosystem. If chronic bioelectric noise is real, these compartments are rational places to look.</w:t>
      </w:r>
    </w:p>
    <w:p>
      <w:r>
        <w:t>The strongest animal signals are consistent with that search space. NTP exposed rats and mice to GSM- and CDMA-modulated RFR; in male rats, NTP reported clear evidence of malignant heart schwannomas and some evidence of malignant gliomas of the brain. NTP also reported RFR-associated DNA damage in specific tissues, while emphasizing that many factors influence whether DNA damage leads to tumors. [2,3]</w:t>
      </w:r>
    </w:p>
    <w:p>
      <w:r>
        <w:t>The broader evidence remains contested. IARC classified RF electromagnetic fields as possibly carcinogenic to humans, Group 2B, based on limited evidence for glioma and acoustic neuroma among wireless-phone users. Hardell and Carlberg have argued for a much stronger carcinogenic interpretation, while a WHO-commissioned human observational systematic review led by Karipidis concluded with moderate certainty that near-field mobile-phone RF exposure likely does not increase risks of glioma, meningioma, acoustic neuroma, pituitary tumors, salivary-gland tumors, or pediatric brain tumors. [4,5,8]</w:t>
      </w:r>
    </w:p>
    <w:p>
      <w:r>
        <w:t>A 2025 WHO-commissioned animal systematic review by Mevissen and colleagues reached stronger conclusions for animal evidence, including high certainty for increased malignant heart schwannoma and moderate-to-high certainty for glial-cell-derived brain tumors in certain rat data. Critics, including ARPANSA and BfS-affiliated authors, challenged aspects of the review methodology and argued that re-analysis downgrades certainty because of imprecision and wide confidence intervals. [6,7]</w:t>
      </w:r>
    </w:p>
    <w:p>
      <w:r>
        <w:t>This conflict is not a reason to stop asking questions. It is the reason to ask better questions. A low-fidelity-biology model predicts that simple exposure-versus-disease epidemiology may miss key variables: waveform, age of first exposure, latency, tissue geometry, co-exposures, mitochondrial health, genetic susceptibility, sleep/circadian state, and immune competence.</w:t>
      </w:r>
    </w:p>
    <w:p>
      <w:pPr>
        <w:pStyle w:val="Heading1"/>
      </w:pPr>
      <w:r>
        <w:t>6. NO-Cbl: downstream rescue that reveals the upstream problem</w:t>
      </w:r>
    </w:p>
    <w:p>
      <w:r>
        <w:t>NO-Cbl is important because it targets the tumor's adapted state. In the proposed framework, glioblastoma is not just a mass of fast-dividing cells. It is a redox-adapted, apoptosis-resistant system that has learned to survive noisy calcium/mitochondrial signaling, oxidative stress, immune pressure, and repair burden. That survival state requires nutrient scavenging, one-carbon metabolism, DNA synthesis, and redox buffering. A cobalamin analog exploits exactly that hunger.</w:t>
      </w:r>
    </w:p>
    <w:p>
      <w:r>
        <w:t>The deeper lesson is that disease creates handles. If a tumor upregulates CD320 to feed its survival program, NO-Cbl can use that receptor as a Trojan horse. If a tumor suppresses death-receptor signaling, localized nitric oxide may re-sensitize apoptosis. If a tumor relies on NF-kappaB and redox buffering to survive, a targeted redox payload can destabilize that shield. [1]</w:t>
      </w:r>
    </w:p>
    <w:p>
      <w:r>
        <w:t>But the moral center remains prevention. Treatment asks how to kill cells that already crossed the transformation threshold. Prevention asks why the threshold moved, why repair failed, why apoptosis was bypassed, and why the organism lived for years in a low-fidelity state that allowed damaged clones to persist.</w:t>
      </w:r>
    </w:p>
    <w:p>
      <w:pPr>
        <w:pStyle w:val="Heading1"/>
      </w:pPr>
      <w:r>
        <w:t>7. Public health implications: from exposure limits to biological fidelity</w:t>
      </w:r>
    </w:p>
    <w:p>
      <w:r>
        <w:t>The policy problem is structural. Section 704 of the Telecommunications Act, codified at 47 U.S.C. 332(c)(7)(B)(iv), states that state or local governments may not regulate placement, construction, or modification of personal wireless service facilities on the basis of environmental effects of radiofrequency emissions if those facilities comply with FCC regulations. [10]</w:t>
      </w:r>
    </w:p>
    <w:p>
      <w:r>
        <w:t>That legal preemption creates a public-health trap when the federal standard itself is disputed or outdated. In 2021, the D.C. Circuit remanded the FCC's 2019 decision retaining its 1996 RF guidelines, holding that the agency failed to provide a reasoned explanation for why the guidelines adequately protect against harmful effects unrelated to cancer. The court specifically required the FCC to address children, long-term exposure, the ubiquity of wireless devices, technological developments since 1996, and environmental impacts. [9]</w:t>
      </w:r>
    </w:p>
    <w:p>
      <w:r>
        <w:t>Public Law 90-602, the Radiation Control for Health and Safety Act of 1968, should be brought back into the center of this conversation. FDA summarizes these Radiation Control provisions as applying to electronic products that emit ionizing or non-ionizing electromagnetic radiation, and its examples include cordless and cellular telephones. The statute's public-health logic is clear: radiation-emitting products should be evaluated and controlled to protect public health and safety, not simply assumed safe because they are useful. [11]</w:t>
      </w:r>
    </w:p>
    <w:p>
      <w:r>
        <w:t>A prevention-first framework would not ban modern communication. It would modernize it. The public-health goal should be to build high-bandwidth infrastructure that minimizes unnecessary biological exposure: fiber-first connectivity, wired indoor defaults, lower-power designs, distance-based safety, transparent real-world exposure mapping, waveform-aware limits, independent mechanistic research, and procurement standards that reward safety innovation.</w:t>
      </w:r>
    </w:p>
    <w:p>
      <w:pPr>
        <w:pStyle w:val="Heading1"/>
      </w:pPr>
      <w:r>
        <w:t>8. What would make the hypothesis scientifically serious?</w:t>
      </w:r>
    </w:p>
    <w:p>
      <w:r>
        <w:t>The theory must make risky predictions. The first decisive experiment is not an animal cancer study. It is an acute, blinded, sham-controlled, isothermal cellular study asking whether modulated RFR, at the same average SAR as continuous-wave controls, reproducibly changes calcium waveform fidelity and mitochondrial redox state in glial-lineage and Schwann-lineage cells.</w:t>
      </w:r>
    </w:p>
    <w:p>
      <w:r>
        <w:t>The strongest positive result would look like this: same SAR but different modulation produces different calcium/redox outcomes; the effect appears before overt toxicity; calcium-channel intervention, mitochondrial calcium-uptake blockade, CYB5B perturbation, or targeted redox buffering blunts the response; and chronic exposure produces pre-neoplastic signatures such as gamma-H2AX, 8-oxo-dG, altered NADH/FAD autofluorescence, NF-kappaB/Nrf2/STAT3 activation, apoptosis resistance, and possibly increased CD320/B12-pathway uptake.</w:t>
      </w:r>
    </w:p>
    <w:p>
      <w:r>
        <w:t>The strongest falsification would also be clear: if carefully blinded, temperature-controlled studies find no reproducible calcium waveform changes, no mitochondrial redox effect, no waveform specificity, no dependence on candidate transduction nodes, and no chronic pre-neoplastic signature in susceptible cells, the bioelectric-dissonance model would need major revision.</w:t>
      </w:r>
    </w:p>
    <w:p>
      <w:pPr>
        <w:pStyle w:val="Heading1"/>
      </w:pPr>
      <w:r>
        <w:t>9. A practical research and policy agenda</w:t>
      </w:r>
    </w:p>
    <w:tbl>
      <w:tblPr>
        <w:tblStyle w:val="TableGrid"/>
        <w:tblW w:type="auto" w:w="0"/>
        <w:jc w:val="center"/>
        <w:tblLook w:firstColumn="1" w:firstRow="1" w:lastColumn="0" w:lastRow="0" w:noHBand="0" w:noVBand="1" w:val="04A0"/>
      </w:tblPr>
      <w:tblGrid>
        <w:gridCol w:w="5184"/>
        <w:gridCol w:w="5184"/>
      </w:tblGrid>
      <w:tr>
        <w:trPr>
          <w:tblHeader w:val="true"/>
        </w:trPr>
        <w:tc>
          <w:tcPr>
            <w:tcW w:type="dxa" w:w="5184"/>
            <w:shd w:fill="143966"/>
          </w:tcPr>
          <w:p>
            <w:r>
              <w:rPr>
                <w:b/>
                <w:color w:val="FFFFFF"/>
                <w:sz w:val="19"/>
              </w:rPr>
              <w:t>Domain</w:t>
            </w:r>
          </w:p>
        </w:tc>
        <w:tc>
          <w:tcPr>
            <w:tcW w:type="dxa" w:w="5184"/>
            <w:shd w:fill="143966"/>
          </w:tcPr>
          <w:p>
            <w:r>
              <w:rPr>
                <w:b/>
                <w:color w:val="FFFFFF"/>
                <w:sz w:val="19"/>
              </w:rPr>
              <w:t>Action</w:t>
            </w:r>
          </w:p>
        </w:tc>
      </w:tr>
      <w:tr>
        <w:tc>
          <w:tcPr>
            <w:tcW w:type="dxa" w:w="5184"/>
            <w:vAlign w:val="top"/>
          </w:tcPr>
          <w:p>
            <w:r>
              <w:rPr>
                <w:sz w:val="17"/>
              </w:rPr>
              <w:t>Mechanism</w:t>
            </w:r>
          </w:p>
        </w:tc>
        <w:tc>
          <w:tcPr>
            <w:tcW w:type="dxa" w:w="5184"/>
            <w:vAlign w:val="top"/>
          </w:tcPr>
          <w:p>
            <w:r>
              <w:rPr>
                <w:sz w:val="17"/>
              </w:rPr>
              <w:t>Fund independent studies of waveform-specific RFR effects on calcium timing, mitochondrial redox, radical-pair-sensitive chemistry, CYB5B, and apoptosis checkpoints.</w:t>
            </w:r>
          </w:p>
        </w:tc>
      </w:tr>
      <w:tr>
        <w:tc>
          <w:tcPr>
            <w:tcW w:type="dxa" w:w="5184"/>
            <w:vAlign w:val="top"/>
          </w:tcPr>
          <w:p>
            <w:r>
              <w:rPr>
                <w:sz w:val="17"/>
              </w:rPr>
              <w:t>Models</w:t>
            </w:r>
          </w:p>
        </w:tc>
        <w:tc>
          <w:tcPr>
            <w:tcW w:type="dxa" w:w="5184"/>
            <w:vAlign w:val="top"/>
          </w:tcPr>
          <w:p>
            <w:r>
              <w:rPr>
                <w:sz w:val="17"/>
              </w:rPr>
              <w:t>Use human iPSC-derived neural progenitors, astrocytes, oligodendrocyte precursor cells, Schwann-lineage cells, glioma stem-like cells, and brain organoids.</w:t>
            </w:r>
          </w:p>
        </w:tc>
      </w:tr>
      <w:tr>
        <w:tc>
          <w:tcPr>
            <w:tcW w:type="dxa" w:w="5184"/>
            <w:vAlign w:val="top"/>
          </w:tcPr>
          <w:p>
            <w:r>
              <w:rPr>
                <w:sz w:val="17"/>
              </w:rPr>
              <w:t>Exposure science</w:t>
            </w:r>
          </w:p>
        </w:tc>
        <w:tc>
          <w:tcPr>
            <w:tcW w:type="dxa" w:w="5184"/>
            <w:vAlign w:val="top"/>
          </w:tcPr>
          <w:p>
            <w:r>
              <w:rPr>
                <w:sz w:val="17"/>
              </w:rPr>
              <w:t>Measure modulation, pulse structure, peak-to-average ratio, polarization, near-field geometry, duty cycle, and lifetime cumulative exposure, not only averaged SAR.</w:t>
            </w:r>
          </w:p>
        </w:tc>
      </w:tr>
      <w:tr>
        <w:tc>
          <w:tcPr>
            <w:tcW w:type="dxa" w:w="5184"/>
            <w:vAlign w:val="top"/>
          </w:tcPr>
          <w:p>
            <w:r>
              <w:rPr>
                <w:sz w:val="17"/>
              </w:rPr>
              <w:t>Prevention</w:t>
            </w:r>
          </w:p>
        </w:tc>
        <w:tc>
          <w:tcPr>
            <w:tcW w:type="dxa" w:w="5184"/>
            <w:vAlign w:val="top"/>
          </w:tcPr>
          <w:p>
            <w:r>
              <w:rPr>
                <w:sz w:val="17"/>
              </w:rPr>
              <w:t>Prioritize fiber-first, wired indoor infrastructure, lower-power designs, and distance-based exposure reduction in schools, homes, hospitals, and public buildings.</w:t>
            </w:r>
          </w:p>
        </w:tc>
      </w:tr>
      <w:tr>
        <w:tc>
          <w:tcPr>
            <w:tcW w:type="dxa" w:w="5184"/>
            <w:vAlign w:val="top"/>
          </w:tcPr>
          <w:p>
            <w:r>
              <w:rPr>
                <w:sz w:val="17"/>
              </w:rPr>
              <w:t>Law</w:t>
            </w:r>
          </w:p>
        </w:tc>
        <w:tc>
          <w:tcPr>
            <w:tcW w:type="dxa" w:w="5184"/>
            <w:vAlign w:val="top"/>
          </w:tcPr>
          <w:p>
            <w:r>
              <w:rPr>
                <w:sz w:val="17"/>
              </w:rPr>
              <w:t>Repeal or amend Section 704 so communities can consider health and environmental evidence; require FCC compliance with the D.C. Circuit remand; elevate Public Law 90-602 as a public-health mandate.</w:t>
            </w:r>
          </w:p>
        </w:tc>
      </w:tr>
      <w:tr>
        <w:tc>
          <w:tcPr>
            <w:tcW w:type="dxa" w:w="5184"/>
            <w:vAlign w:val="top"/>
          </w:tcPr>
          <w:p>
            <w:r>
              <w:rPr>
                <w:sz w:val="17"/>
              </w:rPr>
              <w:t>Therapy</w:t>
            </w:r>
          </w:p>
        </w:tc>
        <w:tc>
          <w:tcPr>
            <w:tcW w:type="dxa" w:w="5184"/>
            <w:vAlign w:val="top"/>
          </w:tcPr>
          <w:p>
            <w:r>
              <w:rPr>
                <w:sz w:val="17"/>
              </w:rPr>
              <w:t>Advance NO-Cbl and related targeted redox therapies while explicitly linking treatment research to upstream prevention and exposure biology.</w:t>
            </w:r>
          </w:p>
        </w:tc>
      </w:tr>
    </w:tbl>
    <w:p>
      <w:pPr>
        <w:pStyle w:val="Heading1"/>
      </w:pPr>
      <w:r>
        <w:t>10. Conclusion: the electromagnetic environment is a biological commons</w:t>
      </w:r>
    </w:p>
    <w:p>
      <w:r>
        <w:t>The NO-Cbl study deserves attention because it is a smart downstream intervention against a devastating cancer. It shows how a tumor's own adaptive state can become a therapeutic vulnerability. But the larger lesson is upstream: why did the adaptive state emerge at all?</w:t>
      </w:r>
    </w:p>
    <w:p>
      <w:r>
        <w:t>Low-fidelity biology reframes the question. Disease is not always a single-cause event. It can be the endpoint of years of degraded signal fidelity: noisy calcium rhythms, strained mitochondria, distorted redox chemistry, persistent repair burden, immune misclassification, and survival programs that should have been temporary but became chronic. RFR is not the only candidate driver of this state. But because wireless infrastructure is involuntary, continuous, scalable, and legally protected from local health-based challenge, it deserves a level of scrutiny commensurate with its reach.</w:t>
      </w:r>
    </w:p>
    <w:p>
      <w:r>
        <w:t>The goal is not fear. The goal is fidelity. A serious public-health system would treat the electromagnetic environment as part of the biological environment. It would fund better therapy for patients who are sick now, while redesigning exposure policy so fewer people enter the low-fidelity state that makes disease more likely in the first place.</w:t>
      </w:r>
    </w:p>
    <w:p>
      <w:r>
        <w:br w:type="page"/>
      </w:r>
    </w:p>
    <w:p>
      <w:pPr>
        <w:pStyle w:val="Heading1"/>
      </w:pPr>
      <w:r>
        <w:t>Publishing kit</w:t>
      </w:r>
    </w:p>
    <w:p>
      <w:pPr>
        <w:pStyle w:val="Heading2"/>
      </w:pPr>
      <w:r>
        <w:t>Suggested title options</w:t>
      </w:r>
    </w:p>
    <w:p>
      <w:pPr>
        <w:pStyle w:val="ListBullet"/>
      </w:pPr>
      <w:r>
        <w:t>Low-Fidelity Biology: Why NO-Cbl Points Beyond Glioblastoma Treatment to Upstream Prevention</w:t>
      </w:r>
    </w:p>
    <w:p>
      <w:pPr>
        <w:pStyle w:val="ListBullet"/>
      </w:pPr>
      <w:r>
        <w:t>From NO-Cbl to Bioelectric Dissonance: A New Hypothesis for RFR, Redox Stress, and Disease Susceptibility</w:t>
      </w:r>
    </w:p>
    <w:p>
      <w:pPr>
        <w:pStyle w:val="ListBullet"/>
      </w:pPr>
      <w:r>
        <w:t>The Meta-State Before Disease: RFR, Redox Fidelity, and the Case for Prevention-First Public Health</w:t>
      </w:r>
    </w:p>
    <w:p>
      <w:pPr>
        <w:pStyle w:val="Heading2"/>
      </w:pPr>
      <w:r>
        <w:t>Suggested pull quotes</w:t>
      </w:r>
    </w:p>
    <w:p>
      <w:pPr>
        <w:pStyle w:val="ListBullet"/>
      </w:pPr>
      <w:r>
        <w:t>RFR may be less like a disease-specific poison and more like a chronic timing pollutant.</w:t>
      </w:r>
    </w:p>
    <w:p>
      <w:pPr>
        <w:pStyle w:val="ListBullet"/>
      </w:pPr>
      <w:r>
        <w:t>The cell does not simply become diseased; it adapts to low-fidelity conditions until adaptation itself becomes pathology.</w:t>
      </w:r>
    </w:p>
    <w:p>
      <w:pPr>
        <w:pStyle w:val="ListBullet"/>
      </w:pPr>
      <w:r>
        <w:t>NO-Cbl may exploit the tumor state; prevention asks why that state was allowed to emerge.</w:t>
      </w:r>
    </w:p>
    <w:p>
      <w:pPr>
        <w:pStyle w:val="ListBullet"/>
      </w:pPr>
      <w:r>
        <w:t>The electromagnetic environment is not just an engineering commons. It is a biological commons.</w:t>
      </w:r>
    </w:p>
    <w:p>
      <w:r>
        <w:br w:type="page"/>
      </w:r>
    </w:p>
    <w:p>
      <w:pPr>
        <w:pStyle w:val="Heading1"/>
      </w:pPr>
      <w:r>
        <w:t>References and evidence notes</w:t>
      </w:r>
    </w:p>
    <w:p>
      <w:pPr>
        <w:ind w:left="360" w:hanging="360"/>
      </w:pPr>
      <w:r>
        <w:rPr>
          <w:b/>
        </w:rPr>
        <w:t xml:space="preserve">[1] </w:t>
      </w:r>
      <w:r>
        <w:t xml:space="preserve">Bauer JA, Sysel AM, Dunphy MJ. Selective blood-brain barrier penetration and tumor targeting of nitrosylcobalamin in glioblastoma: pharmacokinetics, tissue distribution, and synergistic activity with TRAIL and temozolomide. Oncoscience. 2026. </w:t>
      </w:r>
      <w:hyperlink r:id="rId12">
        <w:r>
          <w:rPr>
            <w:color w:val="0563C1"/>
            <w:u w:val="single"/>
          </w:rPr>
          <w:t>Link</w:t>
        </w:r>
      </w:hyperlink>
    </w:p>
    <w:p>
      <w:pPr>
        <w:ind w:left="360" w:hanging="360"/>
      </w:pPr>
      <w:r>
        <w:rPr>
          <w:b/>
        </w:rPr>
        <w:t xml:space="preserve">[2] </w:t>
      </w:r>
      <w:r>
        <w:t xml:space="preserve">National Toxicology Program. Toxicology and Carcinogenesis Studies in Hsd:Sprague Dawley SD Rats Exposed to Whole-body Radio Frequency Radiation at a Frequency (900 MHz) and Modulations Used by Cell Phones. TR-595. </w:t>
      </w:r>
      <w:hyperlink r:id="rId13">
        <w:r>
          <w:rPr>
            <w:color w:val="0563C1"/>
            <w:u w:val="single"/>
          </w:rPr>
          <w:t>Link</w:t>
        </w:r>
      </w:hyperlink>
    </w:p>
    <w:p>
      <w:pPr>
        <w:ind w:left="360" w:hanging="360"/>
      </w:pPr>
      <w:r>
        <w:rPr>
          <w:b/>
        </w:rPr>
        <w:t xml:space="preserve">[3] </w:t>
      </w:r>
      <w:r>
        <w:t xml:space="preserve">National Toxicology Program. Cell Phone Radio Frequency Radiation topic page. </w:t>
      </w:r>
      <w:hyperlink r:id="rId14">
        <w:r>
          <w:rPr>
            <w:color w:val="0563C1"/>
            <w:u w:val="single"/>
          </w:rPr>
          <w:t>Link</w:t>
        </w:r>
      </w:hyperlink>
    </w:p>
    <w:p>
      <w:pPr>
        <w:ind w:left="360" w:hanging="360"/>
      </w:pPr>
      <w:r>
        <w:rPr>
          <w:b/>
        </w:rPr>
        <w:t xml:space="preserve">[4] </w:t>
      </w:r>
      <w:r>
        <w:t xml:space="preserve">IARC Monographs. Non-Ionizing Radiation, Part 2: Radiofrequency Electromagnetic Fields. Evaluation: RF electromagnetic fields are possibly carcinogenic to humans (Group 2B). </w:t>
      </w:r>
      <w:hyperlink r:id="rId15">
        <w:r>
          <w:rPr>
            <w:color w:val="0563C1"/>
            <w:u w:val="single"/>
          </w:rPr>
          <w:t>Link</w:t>
        </w:r>
      </w:hyperlink>
    </w:p>
    <w:p>
      <w:pPr>
        <w:ind w:left="360" w:hanging="360"/>
      </w:pPr>
      <w:r>
        <w:rPr>
          <w:b/>
        </w:rPr>
        <w:t xml:space="preserve">[5] </w:t>
      </w:r>
      <w:r>
        <w:t xml:space="preserve">Karipidis K, et al. The effect of exposure to radiofrequency fields on cancer risk in the general and working population: a systematic review of human observational studies - Part I. Environment International. 2024. </w:t>
      </w:r>
      <w:hyperlink r:id="rId16">
        <w:r>
          <w:rPr>
            <w:color w:val="0563C1"/>
            <w:u w:val="single"/>
          </w:rPr>
          <w:t>Link</w:t>
        </w:r>
      </w:hyperlink>
    </w:p>
    <w:p>
      <w:pPr>
        <w:ind w:left="360" w:hanging="360"/>
      </w:pPr>
      <w:r>
        <w:rPr>
          <w:b/>
        </w:rPr>
        <w:t xml:space="preserve">[6] </w:t>
      </w:r>
      <w:r>
        <w:t xml:space="preserve">Mevissen M, et al. Effects of radiofrequency electromagnetic field exposure on cancer in laboratory animal studies, a systematic review. Environment International. 2025. </w:t>
      </w:r>
      <w:hyperlink r:id="rId17">
        <w:r>
          <w:rPr>
            <w:color w:val="0563C1"/>
            <w:u w:val="single"/>
          </w:rPr>
          <w:t>Link</w:t>
        </w:r>
      </w:hyperlink>
    </w:p>
    <w:p>
      <w:pPr>
        <w:ind w:left="360" w:hanging="360"/>
      </w:pPr>
      <w:r>
        <w:rPr>
          <w:b/>
        </w:rPr>
        <w:t xml:space="preserve">[7] </w:t>
      </w:r>
      <w:r>
        <w:t xml:space="preserve">ARPANSA. Commentary on the systematic review of radiofrequency field exposure and animal cancer. </w:t>
      </w:r>
      <w:hyperlink r:id="rId18">
        <w:r>
          <w:rPr>
            <w:color w:val="0563C1"/>
            <w:u w:val="single"/>
          </w:rPr>
          <w:t>Link</w:t>
        </w:r>
      </w:hyperlink>
    </w:p>
    <w:p>
      <w:pPr>
        <w:ind w:left="360" w:hanging="360"/>
      </w:pPr>
      <w:r>
        <w:rPr>
          <w:b/>
        </w:rPr>
        <w:t xml:space="preserve">[8] </w:t>
      </w:r>
      <w:r>
        <w:t xml:space="preserve">Hardell L, Carlberg M. Comments on the US National Toxicology Program technical reports on radiofrequency radiation and carcinogenesis. International Journal of Oncology. 2018. </w:t>
      </w:r>
      <w:hyperlink r:id="rId19">
        <w:r>
          <w:rPr>
            <w:color w:val="0563C1"/>
            <w:u w:val="single"/>
          </w:rPr>
          <w:t>Link</w:t>
        </w:r>
      </w:hyperlink>
    </w:p>
    <w:p>
      <w:pPr>
        <w:ind w:left="360" w:hanging="360"/>
      </w:pPr>
      <w:r>
        <w:rPr>
          <w:b/>
        </w:rPr>
        <w:t xml:space="preserve">[9] </w:t>
      </w:r>
      <w:r>
        <w:t xml:space="preserve">Environmental Health Trust v. Federal Communications Commission, No. 20-1025. U.S. Court of Appeals for the D.C. Circuit. 2021. </w:t>
      </w:r>
      <w:hyperlink r:id="rId20">
        <w:r>
          <w:rPr>
            <w:color w:val="0563C1"/>
            <w:u w:val="single"/>
          </w:rPr>
          <w:t>Link</w:t>
        </w:r>
      </w:hyperlink>
    </w:p>
    <w:p>
      <w:pPr>
        <w:ind w:left="360" w:hanging="360"/>
      </w:pPr>
      <w:r>
        <w:rPr>
          <w:b/>
        </w:rPr>
        <w:t xml:space="preserve">[10] </w:t>
      </w:r>
      <w:r>
        <w:t xml:space="preserve">47 U.S.C. § 332(c)(7)(B)(iv), preservation of local zoning authority and limitation on regulation based on environmental effects of RF emissions. </w:t>
      </w:r>
      <w:hyperlink r:id="rId21">
        <w:r>
          <w:rPr>
            <w:color w:val="0563C1"/>
            <w:u w:val="single"/>
          </w:rPr>
          <w:t>Link</w:t>
        </w:r>
      </w:hyperlink>
    </w:p>
    <w:p>
      <w:pPr>
        <w:ind w:left="360" w:hanging="360"/>
      </w:pPr>
      <w:r>
        <w:rPr>
          <w:b/>
        </w:rPr>
        <w:t xml:space="preserve">[11] </w:t>
      </w:r>
      <w:r>
        <w:t xml:space="preserve">FDA. Summary of the Electronic Product Radiation Control Provisions of the Federal Food, Drug, and Cosmetic Act. </w:t>
      </w:r>
      <w:hyperlink r:id="rId22">
        <w:r>
          <w:rPr>
            <w:color w:val="0563C1"/>
            <w:u w:val="single"/>
          </w:rPr>
          <w:t>Link</w:t>
        </w:r>
      </w:hyperlink>
    </w:p>
    <w:p>
      <w:pPr>
        <w:ind w:left="360" w:hanging="360"/>
      </w:pPr>
      <w:r>
        <w:rPr>
          <w:b/>
        </w:rPr>
        <w:t xml:space="preserve">[12] </w:t>
      </w:r>
      <w:r>
        <w:t xml:space="preserve">Usselman RJ, et al. Spin biochemistry modulates reactive oxygen species production by radio frequency magnetic fields. PLOS One. 2014. </w:t>
      </w:r>
      <w:hyperlink r:id="rId23">
        <w:r>
          <w:rPr>
            <w:color w:val="0563C1"/>
            <w:u w:val="single"/>
          </w:rPr>
          <w:t>Link</w:t>
        </w:r>
      </w:hyperlink>
    </w:p>
    <w:p>
      <w:pPr>
        <w:ind w:left="360" w:hanging="360"/>
      </w:pPr>
      <w:r>
        <w:rPr>
          <w:b/>
        </w:rPr>
        <w:t xml:space="preserve">[13] </w:t>
      </w:r>
      <w:r>
        <w:t xml:space="preserve">Usselman RJ, et al. The quantum biology of reactive oxygen species partitioning impacts cellular bioenergetics. Scientific Reports. 2016. </w:t>
      </w:r>
      <w:hyperlink r:id="rId24">
        <w:r>
          <w:rPr>
            <w:color w:val="0563C1"/>
            <w:u w:val="single"/>
          </w:rPr>
          <w:t>Link</w:t>
        </w:r>
      </w:hyperlink>
    </w:p>
    <w:p>
      <w:pPr>
        <w:ind w:left="360" w:hanging="360"/>
      </w:pPr>
      <w:r>
        <w:rPr>
          <w:b/>
        </w:rPr>
        <w:t xml:space="preserve">[14] </w:t>
      </w:r>
      <w:r>
        <w:t xml:space="preserve">Talbi O, Zadeh-Haghighi H, Simon C. The radical pair mechanism cannot explain telecommunication frequency effects on reactive oxygen species. Frontiers in Quantum Science and Technology. 2025. </w:t>
      </w:r>
      <w:hyperlink r:id="rId25">
        <w:r>
          <w:rPr>
            <w:color w:val="0563C1"/>
            <w:u w:val="single"/>
          </w:rPr>
          <w:t>Link</w:t>
        </w:r>
      </w:hyperlink>
    </w:p>
    <w:p>
      <w:pPr>
        <w:ind w:left="360" w:hanging="360"/>
      </w:pPr>
      <w:r>
        <w:rPr>
          <w:b/>
        </w:rPr>
        <w:t xml:space="preserve">[15] </w:t>
      </w:r>
      <w:r>
        <w:t xml:space="preserve">Bertagna F, Lewis R, Silva SRP, McFadden J. Effects of electromagnetic fields on neuronal ion channels: a systematic review. Annals of the New York Academy of Sciences. 2021. </w:t>
      </w:r>
      <w:hyperlink r:id="rId26">
        <w:r>
          <w:rPr>
            <w:color w:val="0563C1"/>
            <w:u w:val="single"/>
          </w:rPr>
          <w:t>Link</w:t>
        </w:r>
      </w:hyperlink>
    </w:p>
    <w:p>
      <w:pPr>
        <w:ind w:left="360" w:hanging="360"/>
      </w:pPr>
      <w:r>
        <w:rPr>
          <w:b/>
        </w:rPr>
        <w:t xml:space="preserve">[16] </w:t>
      </w:r>
      <w:r>
        <w:t xml:space="preserve">Marchal I. An in vivo electromagnetic field-responsive gene switch. Nature Biotechnology research highlight on Kim et al., Cell 2026. </w:t>
      </w:r>
      <w:hyperlink r:id="rId27">
        <w:r>
          <w:rPr>
            <w:color w:val="0563C1"/>
            <w:u w:val="single"/>
          </w:rPr>
          <w:t>Link</w:t>
        </w:r>
      </w:hyperlink>
    </w:p>
    <w:sectPr w:rsidR="00FC693F" w:rsidRPr="0006063C" w:rsidSect="00034616">
      <w:headerReference w:type="default" r:id="rId9"/>
      <w:footerReference w:type="default" r:id="rId10"/>
      <w:pgSz w:w="12240" w:h="15840"/>
      <w:pgMar w:top="792" w:right="936" w:bottom="792"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color w:val="5E6E80"/>
        <w:sz w:val="16"/>
      </w:rPr>
      <w:t>Draft for public education and research discussion - not medical advice</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right"/>
    </w:pPr>
    <w:r>
      <w:rPr>
        <w:color w:val="5E6E80"/>
        <w:sz w:val="16"/>
      </w:rPr>
      <w:t>Low-Fidelity Biology | Working draft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20" w:line="259" w:lineRule="auto"/>
    </w:pPr>
    <w:rPr>
      <w:rFonts w:ascii="Aptos" w:hAnsi="Aptos" w:eastAsia="Aptos"/>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Aptos Display" w:hAnsi="Aptos Display" w:eastAsia="Aptos Display"/>
      <w:b/>
      <w:bCs/>
      <w:color w:val="0C2656"/>
      <w:sz w:val="32"/>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Aptos Display" w:hAnsi="Aptos Display" w:eastAsia="Aptos Display"/>
      <w:b/>
      <w:bCs/>
      <w:color w:val="1C4882"/>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Aptos Display" w:hAnsi="Aptos Display" w:eastAsia="Aptos Display"/>
      <w:b/>
      <w:bCs/>
      <w:color w:val="56246E"/>
      <w:sz w:val="23"/>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Aptos Display" w:hAnsi="Aptos Display" w:eastAsia="Aptos Display"/>
      <w:b/>
      <w:color w:val="0C2656"/>
      <w:spacing w:val="5"/>
      <w:kern w:val="28"/>
      <w:sz w:val="50"/>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alloutText">
    <w:name w:val="Callout Text"/>
    <w:basedOn w:val="Normal"/>
    <w:pPr>
      <w:spacing w:before="80" w:after="80"/>
      <w:ind w:left="216" w:right="216"/>
    </w:pPr>
    <w:rPr>
      <w:i/>
      <w:color w:val="0C2656"/>
      <w:sz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hyperlink" Target="https://www.oncoscience.us/article/654/text/" TargetMode="External"/><Relationship Id="rId13" Type="http://schemas.openxmlformats.org/officeDocument/2006/relationships/hyperlink" Target="https://ntp.niehs.nih.gov/publications/reports/tr/tr595" TargetMode="External"/><Relationship Id="rId14" Type="http://schemas.openxmlformats.org/officeDocument/2006/relationships/hyperlink" Target="https://ntp.niehs.nih.gov/research/topics/cellphones" TargetMode="External"/><Relationship Id="rId15" Type="http://schemas.openxmlformats.org/officeDocument/2006/relationships/hyperlink" Target="https://www.ncbi.nlm.nih.gov/books/NBK304629/" TargetMode="External"/><Relationship Id="rId16" Type="http://schemas.openxmlformats.org/officeDocument/2006/relationships/hyperlink" Target="https://www.sciencedirect.com/science/article/pii/S0160412024005695" TargetMode="External"/><Relationship Id="rId17" Type="http://schemas.openxmlformats.org/officeDocument/2006/relationships/hyperlink" Target="https://www.sciencedirect.com/science/article/pii/S0160412025002338" TargetMode="External"/><Relationship Id="rId18" Type="http://schemas.openxmlformats.org/officeDocument/2006/relationships/hyperlink" Target="https://www.arpansa.gov.au/commentary-systematic-review-radiofrequency-field-exposure-and-animal-cancer" TargetMode="External"/><Relationship Id="rId19" Type="http://schemas.openxmlformats.org/officeDocument/2006/relationships/hyperlink" Target="https://www.spandidos-publications.com/10.3892/ijo.2018.4606" TargetMode="External"/><Relationship Id="rId20" Type="http://schemas.openxmlformats.org/officeDocument/2006/relationships/hyperlink" Target="https://law.justia.com/cases/federal/appellate-courts/cadc/20-1025/20-1025-2021-08-13.html" TargetMode="External"/><Relationship Id="rId21" Type="http://schemas.openxmlformats.org/officeDocument/2006/relationships/hyperlink" Target="https://uscode.house.gov/view.xhtml?edition=prelim&amp;num=0&amp;req=granuleid%3AUSC-prelim-title47-section332" TargetMode="External"/><Relationship Id="rId22" Type="http://schemas.openxmlformats.org/officeDocument/2006/relationships/hyperlink" Target="https://www.fda.gov/radiation-emitting-products/laws-and-regulations-radiation-emitting-products/summary-electronic-product-radiation-control-provisions-federal-food-drug-and-cosmetic-fdc-act" TargetMode="External"/><Relationship Id="rId23" Type="http://schemas.openxmlformats.org/officeDocument/2006/relationships/hyperlink" Target="https://journals.plos.org/plosone/article?id=10.1371/journal.pone.0093065" TargetMode="External"/><Relationship Id="rId24" Type="http://schemas.openxmlformats.org/officeDocument/2006/relationships/hyperlink" Target="https://www.nature.com/articles/srep38543" TargetMode="External"/><Relationship Id="rId25" Type="http://schemas.openxmlformats.org/officeDocument/2006/relationships/hyperlink" Target="https://www.frontiersin.org/journals/quantum-science-and-technology/articles/10.3389/frqst.2025.1544473/full" TargetMode="External"/><Relationship Id="rId26" Type="http://schemas.openxmlformats.org/officeDocument/2006/relationships/hyperlink" Target="https://nyaspubs.onlinelibrary.wiley.com/doi/full/10.1111/nyas.14597" TargetMode="External"/><Relationship Id="rId27" Type="http://schemas.openxmlformats.org/officeDocument/2006/relationships/hyperlink" Target="https://www.nature.com/articles/s41587-026-0314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Low-Fidelity Biology and the Quantum-Bioelectric Dissonance Hypothesis</dc:title>
  <dc:subject>NO-Cbl, glioblastoma, RFR, redox biology, bioelectric dissonance</dc:subject>
  <dc:creator>OpenAI-assisted working draft</dc:creator>
  <cp:keywords>glioblastoma; nitrosylcobalamin; NO-Cbl; RFR; bioelectric dissonance; low-fidelity biology; radical pair; calcium signaling; CYB5B; Section 704; Public Law 90-602</cp:keywords>
  <dc:description>generated by python-docx</dc:description>
  <cp:lastModifiedBy/>
  <cp:revision>1</cp:revision>
  <dcterms:created xsi:type="dcterms:W3CDTF">2013-12-23T23:15:00Z</dcterms:created>
  <dcterms:modified xsi:type="dcterms:W3CDTF">2013-12-23T23:15:00Z</dcterms:modified>
  <cp:category/>
</cp:coreProperties>
</file>