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i w:val="0"/>
        </w:rPr>
        <w:t>NONPROVISIONAL UTILITY PATENT APPLICATION (DRAFT)</w:t>
      </w:r>
    </w:p>
    <w:p>
      <w:pPr>
        <w:jc w:val="center"/>
      </w:pPr>
      <w:r>
        <w:rPr>
          <w:b/>
          <w:i w:val="0"/>
        </w:rPr>
        <w:t>TAMPER‑EVIDENT MULTI‑COIN SLAB ASSEMBLY WITH RIM‑ONLY RETENTION AND MACHINE‑READABLE VERIFICATION FOR STANDARDIZED FACE‑VALUE SETS OF COINS</w:t>
      </w:r>
    </w:p>
    <w:p>
      <w:pPr>
        <w:jc w:val="center"/>
      </w:pPr>
      <w:r>
        <w:rPr>
          <w:b w:val="0"/>
          <w:i w:val="0"/>
        </w:rPr>
      </w:r>
    </w:p>
    <w:p>
      <w:pPr>
        <w:jc w:val="center"/>
      </w:pPr>
      <w:r>
        <w:rPr>
          <w:b w:val="0"/>
          <w:i w:val="0"/>
        </w:rPr>
        <w:t>Inventor(s): [INSERT INVENTOR NAME(S)]</w:t>
      </w:r>
    </w:p>
    <w:p>
      <w:pPr>
        <w:jc w:val="center"/>
      </w:pPr>
      <w:r>
        <w:rPr>
          <w:b w:val="0"/>
          <w:i w:val="0"/>
        </w:rPr>
        <w:t>Applicant/Assignee (if any): [INSERT ENTITY NAME]</w:t>
      </w:r>
    </w:p>
    <w:p>
      <w:pPr>
        <w:jc w:val="center"/>
      </w:pPr>
      <w:r>
        <w:rPr>
          <w:b w:val="0"/>
          <w:i w:val="0"/>
        </w:rPr>
        <w:t>Correspondence: [INSERT CORRESPONDENCE ADDRESS / DOCKET]</w:t>
      </w:r>
    </w:p>
    <w:p>
      <w:pPr>
        <w:jc w:val="center"/>
      </w:pPr>
      <w:r>
        <w:rPr>
          <w:b w:val="0"/>
          <w:i w:val="0"/>
        </w:rPr>
        <w:t>Date: 2026-01-21</w:t>
      </w:r>
    </w:p>
    <w:p>
      <w:r>
        <w:br w:type="page"/>
      </w:r>
    </w:p>
    <w:p>
      <w:pPr>
        <w:pStyle w:val="Heading1"/>
      </w:pPr>
      <w:r>
        <w:t>Disclaimer</w:t>
      </w:r>
    </w:p>
    <w:p>
      <w:r>
        <w:rPr>
          <w:b w:val="0"/>
          <w:i w:val="0"/>
        </w:rPr>
        <w:t>This document is a drafting aid for discussion with qualified patent counsel and for preparing a USPTO‑compliant nonprovisional utility patent filing. It is not legal advice. A professional novelty search and claim strategy review are recommended prior to filing.</w:t>
      </w:r>
    </w:p>
    <w:p>
      <w:pPr>
        <w:pStyle w:val="Heading1"/>
      </w:pPr>
      <w:r>
        <w:t>Specification</w:t>
      </w:r>
    </w:p>
    <w:p>
      <w:pPr>
        <w:pStyle w:val="Heading2"/>
      </w:pPr>
      <w:r>
        <w:t>Title of the Invention</w:t>
      </w:r>
    </w:p>
    <w:p>
      <w:r>
        <w:rPr>
          <w:b w:val="0"/>
          <w:i w:val="0"/>
        </w:rPr>
        <w:t>TAMPER‑EVIDENT MULTI‑COIN SLAB ASSEMBLY WITH RIM‑ONLY RETENTION AND MACHINE‑READABLE VERIFICATION FOR STANDARDIZED FACE‑VALUE SETS OF COINS</w:t>
      </w:r>
    </w:p>
    <w:p>
      <w:pPr>
        <w:pStyle w:val="Heading2"/>
      </w:pPr>
      <w:r>
        <w:t>Cross‑Reference to Related Applications</w:t>
      </w:r>
    </w:p>
    <w:p>
      <w:r>
        <w:rPr>
          <w:b w:val="0"/>
          <w:i w:val="0"/>
        </w:rPr>
        <w:t>Not Applicable. (If claiming benefit of a provisional or earlier filing, insert the application number and filing date here.)</w:t>
      </w:r>
    </w:p>
    <w:p>
      <w:pPr>
        <w:pStyle w:val="Heading2"/>
      </w:pPr>
      <w:r>
        <w:t>Statement Regarding Federally Sponsored Research or Development</w:t>
      </w:r>
    </w:p>
    <w:p>
      <w:r>
        <w:rPr>
          <w:b w:val="0"/>
          <w:i w:val="0"/>
        </w:rPr>
        <w:t>Not Applicable.</w:t>
      </w:r>
    </w:p>
    <w:p>
      <w:pPr>
        <w:pStyle w:val="Heading2"/>
      </w:pPr>
      <w:r>
        <w:t>Reference to a Sequence Listing, a Large Table, or a Computer Program Listing Appendix</w:t>
      </w:r>
    </w:p>
    <w:p>
      <w:r>
        <w:rPr>
          <w:b w:val="0"/>
          <w:i w:val="0"/>
        </w:rPr>
        <w:t>Not Applicable.</w:t>
      </w:r>
    </w:p>
    <w:p>
      <w:pPr>
        <w:pStyle w:val="Heading2"/>
      </w:pPr>
      <w:r>
        <w:t>Field of the Invention</w:t>
      </w:r>
    </w:p>
    <w:p>
      <w:r>
        <w:rPr>
          <w:b w:val="0"/>
          <w:i w:val="0"/>
        </w:rPr>
        <w:t>The present disclosure relates to coin holders, slabs, and protective enclosures. More particularly, the disclosure relates to a sealed, tamper‑evident multi‑coin slab assembly and associated methods that package predetermined sets of coins in a standardized, verifiable format.</w:t>
      </w:r>
    </w:p>
    <w:p>
      <w:pPr>
        <w:pStyle w:val="Heading2"/>
      </w:pPr>
      <w:r>
        <w:t>Background</w:t>
      </w:r>
    </w:p>
    <w:p>
      <w:r>
        <w:rPr>
          <w:b w:val="0"/>
          <w:i w:val="0"/>
        </w:rPr>
        <w:t>Coins composed of precious metals are often traded in loose quantities. Loose coins are susceptible to loss, substitution, and condition degradation, and they require manual counting and verification during exchange. These issues can be amplified when transactions involve mixed denominations and when edge inspection is desirable to evaluate authenticity and condition.</w:t>
      </w:r>
    </w:p>
    <w:p>
      <w:r>
        <w:rPr>
          <w:b w:val="0"/>
          <w:i w:val="0"/>
        </w:rPr>
        <w:t>Conventional coin holders and display devices typically store a single coin or a predetermined commemorative set. Such holders are not optimized to form a tamper‑evident, verifiable unit from a selected combination of coin denominations while maintaining edge visibility and minimizing contact to coin faces.</w:t>
      </w:r>
    </w:p>
    <w:p>
      <w:r>
        <w:rPr>
          <w:b w:val="0"/>
          <w:i w:val="0"/>
        </w:rPr>
        <w:t>Accordingly, there is a need for an improved slab assembly that (i) retains multiple coins using rim‑only contact structures that permit edge inspection, (ii) enables formation of standardized coin sets based on predetermined face‑value totals or other selection rules, and (iii) supports machine‑readable verification that correlates a physical slab with a record describing the packaged set.</w:t>
      </w:r>
    </w:p>
    <w:p>
      <w:pPr>
        <w:pStyle w:val="Heading2"/>
      </w:pPr>
      <w:r>
        <w:t>Summary</w:t>
      </w:r>
    </w:p>
    <w:p>
      <w:r>
        <w:rPr>
          <w:b w:val="0"/>
          <w:i w:val="0"/>
        </w:rPr>
        <w:t>In one aspect, a coin holder assembly includes a transparent slab body formed by first and second shells joined around a perimeter to define an enclosed cavity, and an internal retention insert disposed in the cavity. The retention insert defines a plurality of coin‑receiving apertures sized for at least two different coin denominations.</w:t>
      </w:r>
    </w:p>
    <w:p>
      <w:r>
        <w:rPr>
          <w:b w:val="0"/>
          <w:i w:val="0"/>
        </w:rPr>
        <w:t>Each aperture includes a rim‑only retention structure configured to contact only an edge of a corresponding coin at a plurality of discrete locations to retain the coin while leaving a majority of the coin edge visible through the transparent slab body. In certain embodiments, the rim‑only retention structure comprises four prongs spaced around the aperture to provide multi‑point edge retention without face contact.</w:t>
      </w:r>
    </w:p>
    <w:p>
      <w:r>
        <w:rPr>
          <w:b w:val="0"/>
          <w:i w:val="0"/>
        </w:rPr>
        <w:t>A machine‑readable identifier (for example, a QR code and/or an NFC inlay) is associated with the slab body and encodes a verification pointer to a record correlated to a slab serial identifier. The record may include information describing the packaged set, including denomination counts, a face‑value total, optional year/mint matching, optional measured weight, and/or an image set or hash.</w:t>
      </w:r>
    </w:p>
    <w:p>
      <w:r>
        <w:rPr>
          <w:b w:val="0"/>
          <w:i w:val="0"/>
        </w:rPr>
        <w:t>In one exemplary embodiment, the retention insert is configured to receive a predetermined face‑value set of U.S. coin denominations such that the face‑value total equals $1.40, which is commonly treated in trade practice as approximately one troy ounce of actual silver weight (subject to wear and coin type). The $1.40 embodiments are illustrative and do not limit the scope of the disclosure.</w:t>
      </w:r>
    </w:p>
    <w:p>
      <w:pPr>
        <w:pStyle w:val="Heading2"/>
      </w:pPr>
      <w:r>
        <w:t>Brief Description of the Drawings</w:t>
      </w:r>
    </w:p>
    <w:p>
      <w:r>
        <w:rPr>
          <w:b w:val="0"/>
          <w:i w:val="0"/>
        </w:rPr>
        <w:t>FIG. 1 is a front elevation view of a multi‑coin slab assembly including a top label band and a lower coin field, in accordance with an embodiment.</w:t>
      </w:r>
    </w:p>
    <w:p>
      <w:r>
        <w:rPr>
          <w:b w:val="0"/>
          <w:i w:val="0"/>
        </w:rPr>
        <w:t>FIG. 2 is a rear elevation view of the slab assembly of FIG. 1.</w:t>
      </w:r>
    </w:p>
    <w:p>
      <w:r>
        <w:rPr>
          <w:b w:val="0"/>
          <w:i w:val="0"/>
        </w:rPr>
        <w:t>FIG. 3 is a cross‑sectional view taken through the slab assembly, showing first and second shells, an internal retention insert, and rim‑only contact to coin edges.</w:t>
      </w:r>
    </w:p>
    <w:p>
      <w:r>
        <w:rPr>
          <w:b w:val="0"/>
          <w:i w:val="0"/>
        </w:rPr>
        <w:t>FIG. 4 is an enlarged detail view of a rim‑only retention structure for an aperture, illustrating four prongs and an unobstructed edge inspection region.</w:t>
      </w:r>
    </w:p>
    <w:p>
      <w:r>
        <w:rPr>
          <w:b w:val="0"/>
          <w:i w:val="0"/>
        </w:rPr>
        <w:t>FIGS. 5A–5F are front views of exemplary aperture layouts corresponding to predetermined denomination combinations totaling a predetermined face value (example: $1.40).</w:t>
      </w:r>
    </w:p>
    <w:p>
      <w:r>
        <w:rPr>
          <w:b w:val="0"/>
          <w:i w:val="0"/>
        </w:rPr>
        <w:t>FIG. 6 is a diagram of a verification workflow in which a machine‑readable identifier encodes a pointer to a record correlated to a slab serial identifier.</w:t>
      </w:r>
    </w:p>
    <w:p>
      <w:pPr>
        <w:pStyle w:val="Heading2"/>
      </w:pPr>
      <w:r>
        <w:t>Detailed Description</w:t>
      </w:r>
    </w:p>
    <w:p>
      <w:r>
        <w:rPr>
          <w:b w:val="0"/>
          <w:i w:val="0"/>
        </w:rPr>
        <w:t>The following description is provided to enable a person of ordinary skill in the art to make and use the disclosed embodiments. The description is not intended to limit the scope of the claims, and variations and modifications will be apparent to those of ordinary skill.</w:t>
      </w:r>
    </w:p>
    <w:p>
      <w:r>
        <w:rPr>
          <w:b w:val="0"/>
          <w:i w:val="0"/>
        </w:rPr>
        <w:t>For clarity, reference numerals may be used in the drawings. Unless otherwise indicated, dimensions and materials described herein are exemplary.</w:t>
      </w:r>
    </w:p>
    <w:p>
      <w:pPr>
        <w:pStyle w:val="Heading3"/>
      </w:pPr>
      <w:r>
        <w:t>A. Slab Body and Label Band</w:t>
      </w:r>
    </w:p>
    <w:p>
      <w:r>
        <w:rPr>
          <w:b w:val="0"/>
          <w:i w:val="0"/>
        </w:rPr>
        <w:t>The slab assembly (100) includes a slab body formed by a first transparent shell (110) and a second transparent shell (120). The shells define an internal cavity (130) sized to receive an internal retention insert (200) and a plurality of coins (300).</w:t>
      </w:r>
    </w:p>
    <w:p>
      <w:r>
        <w:rPr>
          <w:b w:val="0"/>
          <w:i w:val="0"/>
        </w:rPr>
        <w:t>In one embodiment, the slab body has an outer envelope of approximately 100 mm width × 130 mm height × 8 mm thickness, with a corner radius of approximately 6 mm. A top label band (140) may have a height of approximately 28 mm and may include a print window region (142), a machine‑readable code region such as a QR zone (144), and an NFC inlay pocket (146).</w:t>
      </w:r>
    </w:p>
    <w:p>
      <w:r>
        <w:rPr>
          <w:b w:val="0"/>
          <w:i w:val="0"/>
        </w:rPr>
        <w:t>[INSERT FIG. 1 AND/OR FIG. 2: Overall slab front/rear showing label band, QR zone, NFC pocket, serial text region, and coin field.]</w:t>
      </w:r>
    </w:p>
    <w:p>
      <w:pPr>
        <w:pStyle w:val="Heading3"/>
      </w:pPr>
      <w:r>
        <w:t>B. Tamper‑Evident Sealing</w:t>
      </w:r>
    </w:p>
    <w:p>
      <w:r>
        <w:rPr>
          <w:b w:val="0"/>
          <w:i w:val="0"/>
        </w:rPr>
        <w:t>The first and second shells (110, 120) are joined around a perimeter (150) by a sealing method (160) configured to provide tamper evidence. In certain embodiments, the sealing method comprises ultrasonic welding. In other embodiments, a solvent bond or adhesive bond may be used. A perimeter weld margin of at least approximately 4.0 mm may be provided.</w:t>
      </w:r>
    </w:p>
    <w:p>
      <w:r>
        <w:rPr>
          <w:b w:val="0"/>
          <w:i w:val="0"/>
        </w:rPr>
        <w:t>[INSERT FIG. 3: Cross-section showing perimeter bond/weld region and insert thickness.]</w:t>
      </w:r>
    </w:p>
    <w:p>
      <w:pPr>
        <w:pStyle w:val="Heading3"/>
      </w:pPr>
      <w:r>
        <w:t>C. Internal Retention Insert and Apertures</w:t>
      </w:r>
    </w:p>
    <w:p>
      <w:r>
        <w:rPr>
          <w:b w:val="0"/>
          <w:i w:val="0"/>
        </w:rPr>
        <w:t>The internal retention insert (200) defines a plurality of apertures (210) configured to receive coins of multiple denominations. Each aperture has a clear aperture diameter selected to permit insertion of the coin while providing controlled lateral clearance.</w:t>
      </w:r>
    </w:p>
    <w:p>
      <w:r>
        <w:rPr>
          <w:b w:val="0"/>
          <w:i w:val="0"/>
        </w:rPr>
        <w:t>In one embodiment, the clear aperture diameter equals the nominal coin diameter plus approximately 0.8 mm. For example, for U.S. dimes (nominal 17.91 mm), quarters (nominal 24.26 mm), and half dollars (nominal 30.61 mm), the corresponding clear aperture diameters may be approximately 18.7 mm, 25.0 mm, and 31.4 mm, respectively.</w:t>
      </w:r>
    </w:p>
    <w:p>
      <w:r>
        <w:rPr>
          <w:b w:val="0"/>
          <w:i w:val="0"/>
        </w:rPr>
        <w:t>The insert (200) may be formed of an inert polymer selected for low outgassing and reduced risk of chemical interaction with coins, such as polycarbonate, acetal (POM), or nylon. Materials containing plasticizers (for example, PVC) may be avoided in coin-contact regions.</w:t>
      </w:r>
    </w:p>
    <w:p>
      <w:pPr>
        <w:pStyle w:val="Heading3"/>
      </w:pPr>
      <w:r>
        <w:t>D. Rim‑Only (EdgeView) Retention and Edge Inspection</w:t>
      </w:r>
    </w:p>
    <w:p>
      <w:r>
        <w:rPr>
          <w:b w:val="0"/>
          <w:i w:val="0"/>
        </w:rPr>
        <w:t>Each aperture (210) includes a rim‑only retention structure (220) configured to contact only the coin edge at a plurality of discrete locations while leaving the coin faces unobstructed. In one embodiment, the retention structure comprises four prongs (222) spaced around the aperture at approximately 45° increments.</w:t>
      </w:r>
    </w:p>
    <w:p>
      <w:r>
        <w:rPr>
          <w:b w:val="0"/>
          <w:i w:val="0"/>
        </w:rPr>
        <w:t>Each prong may include a chamfered or radiused tip (224) to reduce risk of rim marking. In one embodiment, a prong tip land may be approximately 0.8 mm (arc) × 0.8 mm (radial), with a tip radius of approximately R0.3 and a prong height of approximately 1.2 mm.</w:t>
      </w:r>
    </w:p>
    <w:p>
      <w:r>
        <w:rPr>
          <w:b w:val="0"/>
          <w:i w:val="0"/>
        </w:rPr>
        <w:t>The retention geometry may be selected such that at least approximately 70% of the coin edge circumference remains unobstructed, permitting edge inspection to identify reeding anomalies, rim issues, or other edge features without opening the slab.</w:t>
      </w:r>
    </w:p>
    <w:p>
      <w:r>
        <w:rPr>
          <w:b w:val="0"/>
          <w:i w:val="0"/>
        </w:rPr>
        <w:t>[INSERT FIG. 4: Detail of four-prong retention with unobstructed edge region and prong geometry callouts.]</w:t>
      </w:r>
    </w:p>
    <w:p>
      <w:pPr>
        <w:pStyle w:val="Heading3"/>
      </w:pPr>
      <w:r>
        <w:t>E. Predetermined Coin‑Set Rules and Example $1.40 Embodiments</w:t>
      </w:r>
    </w:p>
    <w:p>
      <w:r>
        <w:rPr>
          <w:b w:val="0"/>
          <w:i w:val="0"/>
        </w:rPr>
        <w:t>The insert (200) may be configured to accept a predetermined coin set based on a selection rule. In one embodiment, the selection rule specifies a predetermined face‑value total. In an illustrative implementation, the predetermined face‑value total is $1.40 using U.S. dimes, quarters, and half dollars, which may be treated in trade practice as approximately one troy ounce of actual silver weight (ASW), with variation based on wear and coin type.</w:t>
      </w:r>
    </w:p>
    <w:p>
      <w:r>
        <w:rPr>
          <w:b w:val="0"/>
          <w:i w:val="0"/>
        </w:rPr>
        <w:t>Example denomination combinations totaling $1.40 include:</w:t>
      </w:r>
    </w:p>
    <w:p>
      <w:pPr>
        <w:pStyle w:val="ListBullet"/>
      </w:pPr>
      <w:r>
        <w:t>two half dollars and four dimes (2H + 4D);</w:t>
      </w:r>
    </w:p>
    <w:p>
      <w:pPr>
        <w:pStyle w:val="ListBullet"/>
      </w:pPr>
      <w:r>
        <w:t>one half dollar, two quarters, and four dimes (1H + 2Q + 4D);</w:t>
      </w:r>
    </w:p>
    <w:p>
      <w:pPr>
        <w:pStyle w:val="ListBullet"/>
      </w:pPr>
      <w:r>
        <w:t>four quarters and four dimes (4Q + 4D);</w:t>
      </w:r>
    </w:p>
    <w:p>
      <w:pPr>
        <w:pStyle w:val="ListBullet"/>
      </w:pPr>
      <w:r>
        <w:t>one half dollar and nine dimes (1H + 9D);</w:t>
      </w:r>
    </w:p>
    <w:p>
      <w:pPr>
        <w:pStyle w:val="ListBullet"/>
      </w:pPr>
      <w:r>
        <w:t>two quarters and nine dimes (2Q + 9D); and</w:t>
      </w:r>
    </w:p>
    <w:p>
      <w:pPr>
        <w:pStyle w:val="ListBullet"/>
      </w:pPr>
      <w:r>
        <w:t>fourteen dimes (14D).</w:t>
      </w:r>
    </w:p>
    <w:p>
      <w:r>
        <w:rPr>
          <w:b w:val="0"/>
          <w:i w:val="0"/>
        </w:rPr>
        <w:t>Aperture layouts for these examples may be arranged for visual symmetry, compactness, manufacturability, and/or stackability. In one embodiment, the coin field extends from y = 0 to approximately 102 mm below the label band.</w:t>
      </w:r>
    </w:p>
    <w:p>
      <w:r>
        <w:rPr>
          <w:b w:val="0"/>
          <w:i w:val="0"/>
        </w:rPr>
        <w:t>[INSERT FIGS. 5A–5F: Front views of example layouts; optionally include coordinate tables as appendices.]</w:t>
      </w:r>
    </w:p>
    <w:p>
      <w:pPr>
        <w:pStyle w:val="Heading3"/>
      </w:pPr>
      <w:r>
        <w:t>F. Machine‑Readable Verification Pointer and Record</w:t>
      </w:r>
    </w:p>
    <w:p>
      <w:r>
        <w:rPr>
          <w:b w:val="0"/>
          <w:i w:val="0"/>
        </w:rPr>
        <w:t>A machine‑readable identifier (170) is associated with the slab body. In one embodiment, the identifier includes a printed QR code and an embedded NFC inlay. The identifier encodes a verification pointer comprising a network address and an identifier correlated to a slab serial.</w:t>
      </w:r>
    </w:p>
    <w:p>
      <w:r>
        <w:rPr>
          <w:b w:val="0"/>
          <w:i w:val="0"/>
        </w:rPr>
        <w:t>In one embodiment, the pointer encodes a URL of the form: https://[DOMAIN]/verify/{SLAB_SERIAL}. The corresponding verification endpoint may display a certificate record describing the packaged set. The machine‑readable identifier preferably encodes only the pointer/identifier, not private cryptographic keys or personally identifying information.</w:t>
      </w:r>
    </w:p>
    <w:p>
      <w:r>
        <w:rPr>
          <w:b w:val="0"/>
          <w:i w:val="0"/>
        </w:rPr>
        <w:t>The record may include denomination counts, year/mint fields, optional measured weight, and a status flag indicating whether the slab is an unopened, sealed unit.</w:t>
      </w:r>
    </w:p>
    <w:p>
      <w:r>
        <w:rPr>
          <w:b w:val="0"/>
          <w:i w:val="0"/>
        </w:rPr>
        <w:t>[INSERT FIG. 6: Verification workflow diagram.]</w:t>
      </w:r>
    </w:p>
    <w:p>
      <w:pPr>
        <w:pStyle w:val="Heading3"/>
      </w:pPr>
      <w:r>
        <w:t>G. Example Assembly Method</w:t>
      </w:r>
    </w:p>
    <w:p>
      <w:r>
        <w:rPr>
          <w:b w:val="0"/>
          <w:i w:val="0"/>
        </w:rPr>
        <w:t>An example method comprises: (i) selecting coins according to a selection rule; (ii) placing the selected coins into corresponding apertures of the insert; (iii) positioning the insert between the shells; (iv) installing an NFC inlay in a recessed pocket (if used); (v) joining the shells around the perimeter via ultrasonic welding or bonding to form a sealed slab; and (vi) associating the slab serial with a record accessible through a machine‑readable verification pointer.</w:t>
      </w:r>
    </w:p>
    <w:p>
      <w:pPr>
        <w:pStyle w:val="Heading3"/>
      </w:pPr>
      <w:r>
        <w:t>H. Variations</w:t>
      </w:r>
    </w:p>
    <w:p>
      <w:r>
        <w:rPr>
          <w:b w:val="0"/>
          <w:i w:val="0"/>
        </w:rPr>
        <w:t>The disclosed embodiments may be modified without departing from the scope of the claims. For example, selection rules may be based on coin count, a total mass range, denomination mix constraints, or other criteria. Additional coin denominations may be accommodated by providing additional aperture sizes and layouts.</w:t>
      </w:r>
    </w:p>
    <w:p>
      <w:r>
        <w:br w:type="page"/>
      </w:r>
    </w:p>
    <w:p>
      <w:pPr>
        <w:pStyle w:val="Heading1"/>
      </w:pPr>
      <w:r>
        <w:t>Claims</w:t>
      </w:r>
    </w:p>
    <w:p>
      <w:r>
        <w:t>1. A coin holder assembly, comprising:</w:t>
        <w:br/>
        <w:t xml:space="preserve">   a transparent slab body comprising a first shell and a second shell joined around a perimeter to define an enclosed cavity;</w:t>
        <w:br/>
        <w:t xml:space="preserve">   an internal retention insert disposed in the cavity, the insert defining a plurality of coin‑receiving apertures sized for at least two different coin denominations;</w:t>
        <w:br/>
        <w:t xml:space="preserve">   a rim‑only retention structure associated with each of the coin‑receiving apertures and configured to retain a corresponding coin by contacting only an edge of the coin at a plurality of discrete locations while leaving at least a majority of a circumference of the edge visible through the transparent slab body; and</w:t>
        <w:br/>
        <w:t xml:space="preserve">   a machine‑readable identifier associated with the slab body and encoding a verification pointer correlated to a slab serial identifier.</w:t>
      </w:r>
    </w:p>
    <w:p>
      <w:r>
        <w:t>2. The coin holder assembly of claim 1, wherein the machine‑readable identifier comprises a printed two‑dimensional code and an embedded near‑field communication (NFC) inlay.</w:t>
      </w:r>
    </w:p>
    <w:p>
      <w:r>
        <w:t>3. The coin holder assembly of claim 1, wherein the verification pointer comprises a network address and an identifier, and wherein the identifier is mapped to a record describing coins retained in the slab body.</w:t>
      </w:r>
    </w:p>
    <w:p>
      <w:r>
        <w:t>4. The coin holder assembly of claim 1, wherein the first shell and the second shell are joined by ultrasonic welding to provide tamper evidence upon opening.</w:t>
      </w:r>
    </w:p>
    <w:p>
      <w:r>
        <w:t>5. The coin holder assembly of claim 1, wherein the internal retention insert is formed of an inert polymer selected from polycarbonate, acetal, and nylon.</w:t>
      </w:r>
    </w:p>
    <w:p>
      <w:r>
        <w:t>6. The coin holder assembly of claim 1, wherein for each aperture the rim‑only retention structure comprises four prongs spaced around the aperture.</w:t>
      </w:r>
    </w:p>
    <w:p>
      <w:r>
        <w:t>7. The coin holder assembly of claim 6, wherein the four prongs are arranged at approximately 45° increments around the aperture.</w:t>
      </w:r>
    </w:p>
    <w:p>
      <w:r>
        <w:t>8. The coin holder assembly of claim 6, wherein each prong includes a radiused tip configured to reduce rim marking.</w:t>
      </w:r>
    </w:p>
    <w:p>
      <w:r>
        <w:t>9. The coin holder assembly of claim 1, wherein a clear aperture diameter for each aperture equals a nominal diameter of the corresponding denomination plus approximately 0.8 millimeters.</w:t>
      </w:r>
    </w:p>
    <w:p>
      <w:r>
        <w:t>10. The coin holder assembly of claim 1, wherein the plurality of apertures are arranged to accept a predetermined set of coins having a predetermined face‑value total.</w:t>
      </w:r>
    </w:p>
    <w:p>
      <w:r>
        <w:t>11. The coin holder assembly of claim 10, wherein the predetermined face‑value total is $1.40.</w:t>
      </w:r>
    </w:p>
    <w:p>
      <w:r>
        <w:t>12. The coin holder assembly of claim 11, wherein the predetermined set of coins comprises two half dollars and four dimes.</w:t>
      </w:r>
    </w:p>
    <w:p>
      <w:r>
        <w:t>13. The coin holder assembly of claim 11, wherein the predetermined set of coins comprises four quarters and four dimes.</w:t>
      </w:r>
    </w:p>
    <w:p>
      <w:r>
        <w:t>14. The coin holder assembly of claim 11, wherein the predetermined set of coins comprises one half dollar and nine dimes.</w:t>
      </w:r>
    </w:p>
    <w:p>
      <w:r>
        <w:t>15. The coin holder assembly of claim 11, wherein the predetermined set of coins comprises fourteen dimes.</w:t>
      </w:r>
    </w:p>
    <w:p>
      <w:r>
        <w:t>16. A method of assembling a sealed multi‑coin unit, comprising:</w:t>
        <w:br/>
        <w:t xml:space="preserve">   selecting a plurality of coins according to a selection rule;</w:t>
        <w:br/>
        <w:t xml:space="preserve">   placing the selected coins into corresponding coin‑receiving apertures of an internal retention insert;</w:t>
        <w:br/>
        <w:t xml:space="preserve">   disposing the internal retention insert between a first transparent shell and a second transparent shell;</w:t>
        <w:br/>
        <w:t xml:space="preserve">   joining the first and second shells around a perimeter to form a sealed slab body; and</w:t>
        <w:br/>
        <w:t xml:space="preserve">   associating a slab serial identifier of the sealed slab body with a record retrievable using a verification pointer encoded by a machine‑readable identifier on the sealed slab body.</w:t>
      </w:r>
    </w:p>
    <w:p>
      <w:r>
        <w:t>17. The method of claim 16, wherein the selection rule specifies a predetermined face‑value total of the selected coins.</w:t>
      </w:r>
    </w:p>
    <w:p>
      <w:r>
        <w:t>18. The method of claim 16, further comprising measuring a total mass of the selected coins and storing the measured total mass in the record retrievable using the verification pointer.</w:t>
      </w:r>
    </w:p>
    <w:p>
      <w:r>
        <w:t>19. The method of claim 16, wherein joining the first and second shells comprises ultrasonic welding.</w:t>
      </w:r>
    </w:p>
    <w:p>
      <w:r>
        <w:t>20. The method of claim 16, wherein the machine‑readable identifier comprises a QR code and an NFC inlay, and the QR code and the NFC inlay encode the same verification pointer.</w:t>
      </w:r>
    </w:p>
    <w:p>
      <w:r>
        <w:br w:type="page"/>
      </w:r>
    </w:p>
    <w:p>
      <w:pPr>
        <w:pStyle w:val="Heading1"/>
      </w:pPr>
      <w:r>
        <w:t>Abstract</w:t>
      </w:r>
    </w:p>
    <w:p>
      <w:r>
        <w:rPr>
          <w:b w:val="0"/>
          <w:i w:val="0"/>
        </w:rPr>
        <w:t>A sealed multi‑coin holder assembly includes first and second transparent shells joined around a perimeter to define an enclosed cavity, and an internal retention insert defining multiple denomination‑specific apertures. Each aperture includes a rim‑only retention structure that contacts only a coin edge at discrete locations to retain the coin while leaving a majority of the edge visible for inspection. A machine‑readable identifier on the slab encodes a verification pointer correlated to a slab serial identifier and a record describing the packaged coin set. In an example embodiment, apertures are arranged to accept a predetermined face‑value set totaling $1.40.</w:t>
      </w:r>
    </w:p>
    <w:p>
      <w:r>
        <w:br w:type="page"/>
      </w:r>
    </w:p>
    <w:p>
      <w:pPr>
        <w:pStyle w:val="Heading1"/>
      </w:pPr>
      <w:r>
        <w:t>Drawing Sheet Placeholders</w:t>
      </w:r>
    </w:p>
    <w:p>
      <w:r>
        <w:rPr>
          <w:b w:val="0"/>
          <w:i w:val="0"/>
        </w:rPr>
        <w:t>Provide formal patent drawings as separate PDF sheets. Suggested sheets:</w:t>
      </w:r>
    </w:p>
    <w:p>
      <w:pPr>
        <w:pStyle w:val="ListBullet"/>
      </w:pPr>
      <w:r>
        <w:t>FIG. 1 — Slab front view (overall envelope; label band; coin field).</w:t>
      </w:r>
    </w:p>
    <w:p>
      <w:pPr>
        <w:pStyle w:val="ListBullet"/>
      </w:pPr>
      <w:r>
        <w:t>FIG. 2 — Slab rear view (overall envelope; label band; coin field).</w:t>
      </w:r>
    </w:p>
    <w:p>
      <w:pPr>
        <w:pStyle w:val="ListBullet"/>
      </w:pPr>
      <w:r>
        <w:t>FIG. 3 — Cross-section (shells; insert; perimeter weld/bond; NFC pocket).</w:t>
      </w:r>
    </w:p>
    <w:p>
      <w:pPr>
        <w:pStyle w:val="ListBullet"/>
      </w:pPr>
      <w:r>
        <w:t>FIG. 4 — Detail of rim-only retention (four prongs; tip land; radius; edge visibility).</w:t>
      </w:r>
    </w:p>
    <w:p>
      <w:pPr>
        <w:pStyle w:val="ListBullet"/>
      </w:pPr>
      <w:r>
        <w:t>FIGS. 5A–5F — Layout embodiments (2H+4D; 1H+2Q+4D; 4Q+4D; 1H+9D; 2Q+9D; 14D).</w:t>
      </w:r>
    </w:p>
    <w:p>
      <w:pPr>
        <w:pStyle w:val="ListBullet"/>
      </w:pPr>
      <w:r>
        <w:t>FIG. 6 — Verification workflow diagram (QR/NFC pointer → record).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